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3754" w14:textId="3603DAAE" w:rsidR="008E32BE" w:rsidRDefault="008E32BE" w:rsidP="008E32BE"/>
    <w:p w14:paraId="60C170C0" w14:textId="77777777" w:rsidR="008E32BE" w:rsidRDefault="008E32BE" w:rsidP="008E32BE">
      <w:r>
        <w:t>While the college does not have a formal Research and Development Cell, a strong research culture is evident through the regular publication of research papers and active participation of faculty members in national and international conferences, seminars, and workshops</w:t>
      </w:r>
    </w:p>
    <w:p w14:paraId="780F616B" w14:textId="77777777" w:rsidR="008E32BE" w:rsidRDefault="008E32BE" w:rsidP="008E32BE"/>
    <w:p w14:paraId="17CEBEC2" w14:textId="2B42A0AE" w:rsidR="008E32BE" w:rsidRDefault="008E32BE"/>
    <w:sectPr w:rsidR="008E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BE"/>
    <w:rsid w:val="008E32BE"/>
    <w:rsid w:val="009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FA870"/>
  <w15:chartTrackingRefBased/>
  <w15:docId w15:val="{F2D7AA27-C7B2-C241-848F-C80BE8C6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2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2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2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2026-01-08T13:02:00Z</dcterms:created>
  <dcterms:modified xsi:type="dcterms:W3CDTF">2026-01-08T13:02:00Z</dcterms:modified>
</cp:coreProperties>
</file>